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EDA" w:rsidRDefault="002C7845">
      <w:pPr>
        <w:rPr>
          <w:color w:val="3A3A3A"/>
          <w:sz w:val="36"/>
          <w:szCs w:val="36"/>
        </w:rPr>
      </w:pPr>
      <w:r>
        <w:rPr>
          <w:rFonts w:hint="eastAsia"/>
          <w:color w:val="3A3A3A"/>
          <w:sz w:val="36"/>
          <w:szCs w:val="36"/>
        </w:rPr>
        <w:t>《国家社会科学基金项目资金管理办法》简明指南</w:t>
      </w:r>
    </w:p>
    <w:p w:rsidR="002C7845" w:rsidRDefault="002C7845" w:rsidP="002C7845">
      <w:pPr>
        <w:pStyle w:val="a7"/>
        <w:spacing w:line="432" w:lineRule="auto"/>
        <w:ind w:firstLine="480"/>
        <w:rPr>
          <w:color w:val="3A3A3A"/>
          <w:sz w:val="21"/>
          <w:szCs w:val="21"/>
        </w:rPr>
      </w:pPr>
      <w:r>
        <w:rPr>
          <w:rStyle w:val="a8"/>
          <w:rFonts w:hint="eastAsia"/>
          <w:color w:val="3A3A3A"/>
          <w:sz w:val="21"/>
          <w:szCs w:val="21"/>
        </w:rPr>
        <w:t>1.适用范围</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项目资金管理办法》（财教〔2016〕304号）自2016年9月7日起施行，适用于2016年（含）以后批准立项的国家社科基金各项目类型，以及教育学、艺术学、军事学三个单列学科。国家社科基金其他资助，未制定有关办法的，适用本办法。</w:t>
      </w:r>
    </w:p>
    <w:p w:rsidR="002C7845" w:rsidRDefault="002C7845" w:rsidP="002C7845">
      <w:pPr>
        <w:pStyle w:val="a7"/>
        <w:spacing w:line="432" w:lineRule="auto"/>
        <w:ind w:firstLine="480"/>
        <w:rPr>
          <w:rFonts w:hint="eastAsia"/>
          <w:color w:val="3A3A3A"/>
          <w:sz w:val="21"/>
          <w:szCs w:val="21"/>
        </w:rPr>
      </w:pPr>
      <w:r>
        <w:rPr>
          <w:rStyle w:val="a8"/>
          <w:rFonts w:hint="eastAsia"/>
          <w:color w:val="3A3A3A"/>
          <w:sz w:val="21"/>
          <w:szCs w:val="21"/>
        </w:rPr>
        <w:t>2.责任单位和项目负责人责任</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责任单位是项目资金管理的责任主体，项目负责人是项目资金使用的直接责任人。</w:t>
      </w:r>
    </w:p>
    <w:p w:rsidR="002C7845" w:rsidRDefault="002C7845" w:rsidP="002C7845">
      <w:pPr>
        <w:pStyle w:val="a7"/>
        <w:spacing w:line="432" w:lineRule="auto"/>
        <w:ind w:firstLine="480"/>
        <w:rPr>
          <w:rFonts w:hint="eastAsia"/>
          <w:color w:val="3A3A3A"/>
          <w:sz w:val="21"/>
          <w:szCs w:val="21"/>
        </w:rPr>
      </w:pPr>
      <w:r>
        <w:rPr>
          <w:rStyle w:val="a8"/>
          <w:rFonts w:hint="eastAsia"/>
          <w:color w:val="3A3A3A"/>
          <w:sz w:val="21"/>
          <w:szCs w:val="21"/>
        </w:rPr>
        <w:t>3.项目资金开支范围</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项目资金分为直接费用和间接费用。</w:t>
      </w:r>
    </w:p>
    <w:p w:rsidR="002C7845" w:rsidRDefault="002C7845" w:rsidP="002C7845">
      <w:pPr>
        <w:pStyle w:val="a7"/>
        <w:spacing w:line="432" w:lineRule="auto"/>
        <w:ind w:firstLine="480"/>
        <w:rPr>
          <w:rFonts w:hint="eastAsia"/>
          <w:color w:val="3A3A3A"/>
          <w:sz w:val="21"/>
          <w:szCs w:val="21"/>
        </w:rPr>
      </w:pPr>
      <w:r>
        <w:rPr>
          <w:rStyle w:val="a8"/>
          <w:rFonts w:hint="eastAsia"/>
          <w:color w:val="3A3A3A"/>
          <w:sz w:val="21"/>
          <w:szCs w:val="21"/>
        </w:rPr>
        <w:t>4.直接费用</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直接费用开支范围包括：资料费、数据采集费、会议费/差旅费/国际合作交流费、设备费、专家咨询费、劳务费、印刷出版费和其他支出。</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所有直接费用开支科目均不设比例限制，由项目负责人按照项目研究实际需要编制。</w:t>
      </w:r>
    </w:p>
    <w:p w:rsidR="002C7845" w:rsidRDefault="002C7845" w:rsidP="002C7845">
      <w:pPr>
        <w:pStyle w:val="a7"/>
        <w:spacing w:line="432" w:lineRule="auto"/>
        <w:ind w:firstLine="480"/>
        <w:rPr>
          <w:rFonts w:hint="eastAsia"/>
          <w:color w:val="3A3A3A"/>
          <w:sz w:val="21"/>
          <w:szCs w:val="21"/>
        </w:rPr>
      </w:pPr>
      <w:r>
        <w:rPr>
          <w:rStyle w:val="a8"/>
          <w:rFonts w:hint="eastAsia"/>
          <w:color w:val="3A3A3A"/>
          <w:sz w:val="21"/>
          <w:szCs w:val="21"/>
        </w:rPr>
        <w:t>5.间接费用</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间接费用主要用于补偿责任单位的间接成本、管理费用以及激励科研人员的绩效支出。间接费用按照不超过项目资助总额的一定比例核定。</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间接费用由责任单位统筹管理使用。责任单位应当处理好合理分摊间接成本和对科研人员激励的关系，在核定的间接费用范围内，公开公正安排绩效支出。</w:t>
      </w:r>
    </w:p>
    <w:p w:rsidR="002C7845" w:rsidRDefault="002C7845" w:rsidP="002C7845">
      <w:pPr>
        <w:pStyle w:val="a7"/>
        <w:spacing w:line="432" w:lineRule="auto"/>
        <w:ind w:firstLine="480"/>
        <w:rPr>
          <w:rFonts w:hint="eastAsia"/>
          <w:color w:val="3A3A3A"/>
          <w:sz w:val="21"/>
          <w:szCs w:val="21"/>
        </w:rPr>
      </w:pPr>
      <w:r>
        <w:rPr>
          <w:rStyle w:val="a8"/>
          <w:rFonts w:hint="eastAsia"/>
          <w:color w:val="3A3A3A"/>
          <w:sz w:val="21"/>
          <w:szCs w:val="21"/>
        </w:rPr>
        <w:lastRenderedPageBreak/>
        <w:t>6.劳务费</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参与项目研究的研究生、博士后、访问学者以及项目聘用的研究人员、科研辅助人员等均可开支劳务费，项目聘用人员的社会保险补助费用纳入劳务费列支。</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劳务费开支标准参照当地科学研究和技术服务业人员平均工资水平以及在项目研究中承担的工作任务确定。</w:t>
      </w:r>
    </w:p>
    <w:p w:rsidR="002C7845" w:rsidRDefault="002C7845" w:rsidP="002C7845">
      <w:pPr>
        <w:pStyle w:val="a7"/>
        <w:spacing w:line="432" w:lineRule="auto"/>
        <w:ind w:firstLine="480"/>
        <w:rPr>
          <w:rFonts w:hint="eastAsia"/>
          <w:color w:val="3A3A3A"/>
          <w:sz w:val="21"/>
          <w:szCs w:val="21"/>
        </w:rPr>
      </w:pPr>
      <w:r>
        <w:rPr>
          <w:rStyle w:val="a8"/>
          <w:rFonts w:hint="eastAsia"/>
          <w:color w:val="3A3A3A"/>
          <w:sz w:val="21"/>
          <w:szCs w:val="21"/>
        </w:rPr>
        <w:t>7.会议费/差旅费/国际合作交流费</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会议费、差旅费、国际合作与交流费打包作为一个科目统筹使用，三项费用合计不超过直接费用20%的，不需要提供预算测算依据。</w:t>
      </w:r>
    </w:p>
    <w:p w:rsidR="002C7845" w:rsidRDefault="002C7845" w:rsidP="002C7845">
      <w:pPr>
        <w:pStyle w:val="a7"/>
        <w:spacing w:line="432" w:lineRule="auto"/>
        <w:ind w:firstLine="480"/>
        <w:rPr>
          <w:rFonts w:hint="eastAsia"/>
          <w:color w:val="3A3A3A"/>
          <w:sz w:val="21"/>
          <w:szCs w:val="21"/>
        </w:rPr>
      </w:pPr>
      <w:r>
        <w:rPr>
          <w:rStyle w:val="a8"/>
          <w:rFonts w:hint="eastAsia"/>
          <w:color w:val="3A3A3A"/>
          <w:sz w:val="21"/>
          <w:szCs w:val="21"/>
        </w:rPr>
        <w:t>8.预算调剂</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项目负责人应当严格执行批准后的项目预算。确需调剂的，应当按规定报批。</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在项目预算总额不变的情况下，除增列外拨资金以外的所有预算调剂权限全部下放到项目责任单位，但会议费/差旅费/国际合作与交流费、专家咨询费、劳务费预算一般不予调增，如有特殊情况确需调增的，应报全国社科规划办审批。</w:t>
      </w:r>
    </w:p>
    <w:p w:rsidR="002C7845" w:rsidRDefault="002C7845" w:rsidP="002C7845">
      <w:pPr>
        <w:pStyle w:val="a7"/>
        <w:spacing w:line="432" w:lineRule="auto"/>
        <w:ind w:firstLine="480"/>
        <w:rPr>
          <w:rFonts w:hint="eastAsia"/>
          <w:color w:val="3A3A3A"/>
          <w:sz w:val="21"/>
          <w:szCs w:val="21"/>
        </w:rPr>
      </w:pPr>
      <w:r>
        <w:rPr>
          <w:rStyle w:val="a8"/>
          <w:rFonts w:hint="eastAsia"/>
          <w:color w:val="3A3A3A"/>
          <w:sz w:val="21"/>
          <w:szCs w:val="21"/>
        </w:rPr>
        <w:t>9.结转结余资金管理</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项目在研期间，年度剩余资金可以结转下一年度继续使用。项目研究成果完成并通过审核验收后，结余资金可用于项目最终成果出版及后续研究的直接支出。通过审核验收2年后结余资金仍有剩余的应当退回。</w:t>
      </w:r>
    </w:p>
    <w:p w:rsidR="002C7845" w:rsidRDefault="002C7845" w:rsidP="002C7845">
      <w:pPr>
        <w:pStyle w:val="a7"/>
        <w:spacing w:line="432" w:lineRule="auto"/>
        <w:ind w:firstLine="480"/>
        <w:rPr>
          <w:rFonts w:hint="eastAsia"/>
          <w:color w:val="3A3A3A"/>
          <w:sz w:val="21"/>
          <w:szCs w:val="21"/>
        </w:rPr>
      </w:pPr>
      <w:r>
        <w:rPr>
          <w:rStyle w:val="a8"/>
          <w:rFonts w:hint="eastAsia"/>
          <w:color w:val="3A3A3A"/>
          <w:sz w:val="21"/>
          <w:szCs w:val="21"/>
        </w:rPr>
        <w:t>10.外拨资金管理</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lastRenderedPageBreak/>
        <w:t>跨单位合作、确需外拨资金的项目，可以外拨资金，但应当在项目预算中单独列示，并附外拨资金直接费用支出预算。间接费用外拨金额，由责任单位和合作研究单位协商确定。</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有外拨资金的项目，外拨资金决算经合作研究单位财务、审计部门审核并签署意见后，由项目负责人汇总编制项目资金决算。</w:t>
      </w:r>
    </w:p>
    <w:p w:rsidR="002C7845" w:rsidRDefault="002C7845" w:rsidP="002C7845">
      <w:pPr>
        <w:pStyle w:val="a7"/>
        <w:spacing w:line="432" w:lineRule="auto"/>
        <w:ind w:firstLine="480"/>
        <w:rPr>
          <w:rFonts w:hint="eastAsia"/>
          <w:color w:val="3A3A3A"/>
          <w:sz w:val="21"/>
          <w:szCs w:val="21"/>
        </w:rPr>
      </w:pPr>
      <w:r>
        <w:rPr>
          <w:rStyle w:val="a8"/>
          <w:rFonts w:hint="eastAsia"/>
          <w:color w:val="3A3A3A"/>
          <w:sz w:val="21"/>
          <w:szCs w:val="21"/>
        </w:rPr>
        <w:t>11.项目资金支出</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项目资金支出一般应当使用公务卡或银行转账方式结算。对于野外考察、数据采集等活动中无法获取发票或财政性票据的支出，在确保真实性的前提下，可按实际发生额报销。</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2C7845" w:rsidRDefault="002C7845" w:rsidP="002C7845">
      <w:pPr>
        <w:pStyle w:val="a7"/>
        <w:spacing w:line="432" w:lineRule="auto"/>
        <w:ind w:firstLine="480"/>
        <w:rPr>
          <w:rFonts w:hint="eastAsia"/>
          <w:color w:val="3A3A3A"/>
          <w:sz w:val="21"/>
          <w:szCs w:val="21"/>
        </w:rPr>
      </w:pPr>
      <w:r>
        <w:rPr>
          <w:rStyle w:val="a8"/>
          <w:rFonts w:hint="eastAsia"/>
          <w:color w:val="3A3A3A"/>
          <w:sz w:val="21"/>
          <w:szCs w:val="21"/>
        </w:rPr>
        <w:t>12.信用管理</w:t>
      </w:r>
    </w:p>
    <w:p w:rsidR="002C7845" w:rsidRDefault="002C7845" w:rsidP="002C7845">
      <w:pPr>
        <w:pStyle w:val="a7"/>
        <w:spacing w:line="432" w:lineRule="auto"/>
        <w:ind w:firstLine="480"/>
        <w:rPr>
          <w:rFonts w:hint="eastAsia"/>
          <w:color w:val="3A3A3A"/>
          <w:sz w:val="21"/>
          <w:szCs w:val="21"/>
        </w:rPr>
      </w:pPr>
      <w:r>
        <w:rPr>
          <w:rFonts w:hint="eastAsia"/>
          <w:color w:val="3A3A3A"/>
          <w:sz w:val="21"/>
          <w:szCs w:val="21"/>
        </w:rPr>
        <w:t>建立项目资金使用和管理情况的检查、审计、监督长效机制。建立项目资金使用和管理的承诺机制、信用机制和信息公开机制。项目负责人和责任单位信用评价情况，与间接费用核定、结余资金留用以及今后是否资助挂钩。</w:t>
      </w:r>
    </w:p>
    <w:p w:rsidR="002C7845" w:rsidRPr="002C7845" w:rsidRDefault="002C7845">
      <w:pPr>
        <w:rPr>
          <w:rFonts w:hint="eastAsia"/>
        </w:rPr>
      </w:pPr>
      <w:bookmarkStart w:id="0" w:name="_GoBack"/>
      <w:bookmarkEnd w:id="0"/>
    </w:p>
    <w:sectPr w:rsidR="002C7845" w:rsidRPr="002C78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F5" w:rsidRDefault="000F7BF5" w:rsidP="002C7845">
      <w:r>
        <w:separator/>
      </w:r>
    </w:p>
  </w:endnote>
  <w:endnote w:type="continuationSeparator" w:id="0">
    <w:p w:rsidR="000F7BF5" w:rsidRDefault="000F7BF5" w:rsidP="002C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F5" w:rsidRDefault="000F7BF5" w:rsidP="002C7845">
      <w:r>
        <w:separator/>
      </w:r>
    </w:p>
  </w:footnote>
  <w:footnote w:type="continuationSeparator" w:id="0">
    <w:p w:rsidR="000F7BF5" w:rsidRDefault="000F7BF5" w:rsidP="002C7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8BE"/>
    <w:rsid w:val="00001DD7"/>
    <w:rsid w:val="00003519"/>
    <w:rsid w:val="00011B9F"/>
    <w:rsid w:val="000239B7"/>
    <w:rsid w:val="0002568C"/>
    <w:rsid w:val="00034371"/>
    <w:rsid w:val="00040001"/>
    <w:rsid w:val="00057ECB"/>
    <w:rsid w:val="00060B54"/>
    <w:rsid w:val="000765C5"/>
    <w:rsid w:val="00083D4A"/>
    <w:rsid w:val="000A60C8"/>
    <w:rsid w:val="000F7BF5"/>
    <w:rsid w:val="00104C21"/>
    <w:rsid w:val="00105576"/>
    <w:rsid w:val="00107C78"/>
    <w:rsid w:val="001252A7"/>
    <w:rsid w:val="00130233"/>
    <w:rsid w:val="00131048"/>
    <w:rsid w:val="00136E86"/>
    <w:rsid w:val="001733A0"/>
    <w:rsid w:val="00190551"/>
    <w:rsid w:val="00192BC0"/>
    <w:rsid w:val="001A127B"/>
    <w:rsid w:val="001A2A82"/>
    <w:rsid w:val="00226A54"/>
    <w:rsid w:val="00234B52"/>
    <w:rsid w:val="00255A2B"/>
    <w:rsid w:val="00297E93"/>
    <w:rsid w:val="002A20AD"/>
    <w:rsid w:val="002A4C79"/>
    <w:rsid w:val="002A5A42"/>
    <w:rsid w:val="002C5CBB"/>
    <w:rsid w:val="002C7845"/>
    <w:rsid w:val="002E1463"/>
    <w:rsid w:val="002E3211"/>
    <w:rsid w:val="00327BFD"/>
    <w:rsid w:val="00355EDA"/>
    <w:rsid w:val="003A7137"/>
    <w:rsid w:val="003C48E3"/>
    <w:rsid w:val="003C4BE0"/>
    <w:rsid w:val="003C62D1"/>
    <w:rsid w:val="003C70B2"/>
    <w:rsid w:val="003D12E0"/>
    <w:rsid w:val="0040158B"/>
    <w:rsid w:val="004160E7"/>
    <w:rsid w:val="004210B0"/>
    <w:rsid w:val="0043454D"/>
    <w:rsid w:val="00443662"/>
    <w:rsid w:val="00443C55"/>
    <w:rsid w:val="004523A9"/>
    <w:rsid w:val="00456F6F"/>
    <w:rsid w:val="00481EB8"/>
    <w:rsid w:val="004A06CF"/>
    <w:rsid w:val="004A4297"/>
    <w:rsid w:val="004B2D61"/>
    <w:rsid w:val="004B47F1"/>
    <w:rsid w:val="004E392A"/>
    <w:rsid w:val="004E4BD0"/>
    <w:rsid w:val="00504A4C"/>
    <w:rsid w:val="005234F6"/>
    <w:rsid w:val="00533434"/>
    <w:rsid w:val="005C24A3"/>
    <w:rsid w:val="005C59D6"/>
    <w:rsid w:val="005D679E"/>
    <w:rsid w:val="005E23F5"/>
    <w:rsid w:val="005E3C4D"/>
    <w:rsid w:val="005F0622"/>
    <w:rsid w:val="005F1483"/>
    <w:rsid w:val="005F50FE"/>
    <w:rsid w:val="0062289D"/>
    <w:rsid w:val="00642934"/>
    <w:rsid w:val="00650835"/>
    <w:rsid w:val="00674DA4"/>
    <w:rsid w:val="006908B4"/>
    <w:rsid w:val="006C2CA1"/>
    <w:rsid w:val="006C3120"/>
    <w:rsid w:val="006C471E"/>
    <w:rsid w:val="006E4E76"/>
    <w:rsid w:val="006F3464"/>
    <w:rsid w:val="00711A31"/>
    <w:rsid w:val="0071202B"/>
    <w:rsid w:val="00751A90"/>
    <w:rsid w:val="00767A81"/>
    <w:rsid w:val="00775284"/>
    <w:rsid w:val="00775486"/>
    <w:rsid w:val="007A555F"/>
    <w:rsid w:val="007B75B9"/>
    <w:rsid w:val="007D7ADB"/>
    <w:rsid w:val="008035D3"/>
    <w:rsid w:val="008123A6"/>
    <w:rsid w:val="00817666"/>
    <w:rsid w:val="00833F98"/>
    <w:rsid w:val="00855837"/>
    <w:rsid w:val="00867100"/>
    <w:rsid w:val="0087724B"/>
    <w:rsid w:val="00903A12"/>
    <w:rsid w:val="00922869"/>
    <w:rsid w:val="00936700"/>
    <w:rsid w:val="00946BFC"/>
    <w:rsid w:val="00947041"/>
    <w:rsid w:val="00956636"/>
    <w:rsid w:val="0095752D"/>
    <w:rsid w:val="009861E0"/>
    <w:rsid w:val="009A197B"/>
    <w:rsid w:val="009B3ADB"/>
    <w:rsid w:val="009E2317"/>
    <w:rsid w:val="00A11EB2"/>
    <w:rsid w:val="00A13030"/>
    <w:rsid w:val="00A2083A"/>
    <w:rsid w:val="00A57D29"/>
    <w:rsid w:val="00A71129"/>
    <w:rsid w:val="00A737E3"/>
    <w:rsid w:val="00A7468E"/>
    <w:rsid w:val="00A95532"/>
    <w:rsid w:val="00AA3AB5"/>
    <w:rsid w:val="00AB482C"/>
    <w:rsid w:val="00AC4723"/>
    <w:rsid w:val="00AE1262"/>
    <w:rsid w:val="00AF61A8"/>
    <w:rsid w:val="00B130E1"/>
    <w:rsid w:val="00B171AD"/>
    <w:rsid w:val="00B2421D"/>
    <w:rsid w:val="00B33EE5"/>
    <w:rsid w:val="00B34928"/>
    <w:rsid w:val="00B36BF3"/>
    <w:rsid w:val="00B46BC7"/>
    <w:rsid w:val="00B5621A"/>
    <w:rsid w:val="00B63D02"/>
    <w:rsid w:val="00B67AF0"/>
    <w:rsid w:val="00B878BE"/>
    <w:rsid w:val="00B91A16"/>
    <w:rsid w:val="00BC62C9"/>
    <w:rsid w:val="00BE5414"/>
    <w:rsid w:val="00BF66CB"/>
    <w:rsid w:val="00C418BC"/>
    <w:rsid w:val="00CD71EA"/>
    <w:rsid w:val="00CD76DA"/>
    <w:rsid w:val="00D347DC"/>
    <w:rsid w:val="00D52036"/>
    <w:rsid w:val="00D75571"/>
    <w:rsid w:val="00DA3F91"/>
    <w:rsid w:val="00DA7A33"/>
    <w:rsid w:val="00DB2D0F"/>
    <w:rsid w:val="00DD7A59"/>
    <w:rsid w:val="00E2034F"/>
    <w:rsid w:val="00E326C7"/>
    <w:rsid w:val="00E54002"/>
    <w:rsid w:val="00E60080"/>
    <w:rsid w:val="00EE1ADE"/>
    <w:rsid w:val="00EE2FE3"/>
    <w:rsid w:val="00F15377"/>
    <w:rsid w:val="00F162C3"/>
    <w:rsid w:val="00F36F54"/>
    <w:rsid w:val="00F62442"/>
    <w:rsid w:val="00F65045"/>
    <w:rsid w:val="00F72B54"/>
    <w:rsid w:val="00F81636"/>
    <w:rsid w:val="00F9687F"/>
    <w:rsid w:val="00FA129D"/>
    <w:rsid w:val="00FA3365"/>
    <w:rsid w:val="00FC3225"/>
    <w:rsid w:val="00FD0970"/>
    <w:rsid w:val="00FE1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90C66"/>
  <w15:chartTrackingRefBased/>
  <w15:docId w15:val="{D81526C2-757E-4DF1-97AC-8332FA36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84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7845"/>
    <w:rPr>
      <w:sz w:val="18"/>
      <w:szCs w:val="18"/>
    </w:rPr>
  </w:style>
  <w:style w:type="paragraph" w:styleId="a5">
    <w:name w:val="footer"/>
    <w:basedOn w:val="a"/>
    <w:link w:val="a6"/>
    <w:uiPriority w:val="99"/>
    <w:unhideWhenUsed/>
    <w:rsid w:val="002C7845"/>
    <w:pPr>
      <w:tabs>
        <w:tab w:val="center" w:pos="4153"/>
        <w:tab w:val="right" w:pos="8306"/>
      </w:tabs>
      <w:snapToGrid w:val="0"/>
      <w:jc w:val="left"/>
    </w:pPr>
    <w:rPr>
      <w:sz w:val="18"/>
      <w:szCs w:val="18"/>
    </w:rPr>
  </w:style>
  <w:style w:type="character" w:customStyle="1" w:styleId="a6">
    <w:name w:val="页脚 字符"/>
    <w:basedOn w:val="a0"/>
    <w:link w:val="a5"/>
    <w:uiPriority w:val="99"/>
    <w:rsid w:val="002C7845"/>
    <w:rPr>
      <w:sz w:val="18"/>
      <w:szCs w:val="18"/>
    </w:rPr>
  </w:style>
  <w:style w:type="paragraph" w:styleId="a7">
    <w:name w:val="Normal (Web)"/>
    <w:basedOn w:val="a"/>
    <w:uiPriority w:val="99"/>
    <w:semiHidden/>
    <w:unhideWhenUsed/>
    <w:rsid w:val="002C784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C7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8016">
      <w:bodyDiv w:val="1"/>
      <w:marLeft w:val="0"/>
      <w:marRight w:val="0"/>
      <w:marTop w:val="0"/>
      <w:marBottom w:val="0"/>
      <w:divBdr>
        <w:top w:val="none" w:sz="0" w:space="0" w:color="auto"/>
        <w:left w:val="none" w:sz="0" w:space="0" w:color="auto"/>
        <w:bottom w:val="none" w:sz="0" w:space="0" w:color="auto"/>
        <w:right w:val="none" w:sz="0" w:space="0" w:color="auto"/>
      </w:divBdr>
      <w:divsChild>
        <w:div w:id="2094811108">
          <w:marLeft w:val="0"/>
          <w:marRight w:val="0"/>
          <w:marTop w:val="0"/>
          <w:marBottom w:val="0"/>
          <w:divBdr>
            <w:top w:val="none" w:sz="0" w:space="0" w:color="auto"/>
            <w:left w:val="none" w:sz="0" w:space="0" w:color="auto"/>
            <w:bottom w:val="none" w:sz="0" w:space="0" w:color="auto"/>
            <w:right w:val="none" w:sz="0" w:space="0" w:color="auto"/>
          </w:divBdr>
          <w:divsChild>
            <w:div w:id="12343532">
              <w:marLeft w:val="0"/>
              <w:marRight w:val="0"/>
              <w:marTop w:val="0"/>
              <w:marBottom w:val="0"/>
              <w:divBdr>
                <w:top w:val="none" w:sz="0" w:space="0" w:color="auto"/>
                <w:left w:val="none" w:sz="0" w:space="0" w:color="auto"/>
                <w:bottom w:val="none" w:sz="0" w:space="0" w:color="auto"/>
                <w:right w:val="none" w:sz="0" w:space="0" w:color="auto"/>
              </w:divBdr>
              <w:divsChild>
                <w:div w:id="5811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204</Words>
  <Characters>1165</Characters>
  <Application>Microsoft Office Word</Application>
  <DocSecurity>0</DocSecurity>
  <Lines>9</Lines>
  <Paragraphs>2</Paragraphs>
  <ScaleCrop>false</ScaleCrop>
  <Company>南开大学</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王转运</dc:creator>
  <cp:keywords/>
  <dc:description/>
  <cp:lastModifiedBy>王转运</cp:lastModifiedBy>
  <cp:revision>2</cp:revision>
  <dcterms:created xsi:type="dcterms:W3CDTF">2016-09-27T07:42:00Z</dcterms:created>
  <dcterms:modified xsi:type="dcterms:W3CDTF">2016-09-27T07:42:00Z</dcterms:modified>
</cp:coreProperties>
</file>